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85" w:rsidRPr="00124C52" w:rsidRDefault="004C0F85" w:rsidP="004C0F85">
      <w:pPr>
        <w:shd w:val="clear" w:color="auto" w:fill="FFFFFF"/>
        <w:spacing w:after="0" w:line="240" w:lineRule="auto"/>
        <w:ind w:left="2835"/>
        <w:jc w:val="right"/>
        <w:rPr>
          <w:rFonts w:ascii="Times New Roman" w:hAnsi="Times New Roman"/>
          <w:b/>
          <w:spacing w:val="-3"/>
          <w:sz w:val="24"/>
          <w:szCs w:val="24"/>
          <w:lang w:val="lv-LV" w:eastAsia="lv-LV"/>
        </w:rPr>
      </w:pPr>
      <w:r w:rsidRPr="00124C52">
        <w:rPr>
          <w:rFonts w:ascii="Times New Roman" w:hAnsi="Times New Roman"/>
          <w:b/>
          <w:spacing w:val="-3"/>
          <w:sz w:val="24"/>
          <w:szCs w:val="24"/>
          <w:lang w:val="lv-LV" w:eastAsia="lv-LV"/>
        </w:rPr>
        <w:t>6. pielikums</w:t>
      </w:r>
    </w:p>
    <w:p w:rsidR="004C0F85" w:rsidRPr="00124C52" w:rsidRDefault="004C0F85" w:rsidP="004C0F85">
      <w:pPr>
        <w:shd w:val="clear" w:color="auto" w:fill="FFFFFF"/>
        <w:spacing w:after="0" w:line="240" w:lineRule="auto"/>
        <w:ind w:left="2835"/>
        <w:jc w:val="right"/>
        <w:rPr>
          <w:rFonts w:ascii="Times New Roman" w:hAnsi="Times New Roman"/>
          <w:spacing w:val="-3"/>
          <w:sz w:val="24"/>
          <w:szCs w:val="24"/>
          <w:lang w:val="lv-LV" w:eastAsia="lv-LV"/>
        </w:rPr>
      </w:pPr>
      <w:r w:rsidRPr="00124C52">
        <w:rPr>
          <w:rFonts w:ascii="Times New Roman" w:hAnsi="Times New Roman"/>
          <w:spacing w:val="-3"/>
          <w:sz w:val="24"/>
          <w:szCs w:val="24"/>
          <w:lang w:val="lv-LV" w:eastAsia="lv-LV"/>
        </w:rPr>
        <w:t>atklāta konkursa</w:t>
      </w:r>
      <w:r w:rsidRPr="00124C52">
        <w:rPr>
          <w:rFonts w:ascii="Times New Roman" w:hAnsi="Times New Roman"/>
          <w:spacing w:val="2"/>
          <w:sz w:val="24"/>
          <w:szCs w:val="24"/>
          <w:lang w:val="lv-LV" w:eastAsia="lv-LV"/>
        </w:rPr>
        <w:t xml:space="preserve"> </w:t>
      </w:r>
      <w:r w:rsidRPr="00124C52">
        <w:rPr>
          <w:rFonts w:ascii="Times New Roman" w:hAnsi="Times New Roman"/>
          <w:sz w:val="24"/>
          <w:szCs w:val="24"/>
          <w:lang w:val="lv-LV" w:eastAsia="lv-LV"/>
        </w:rPr>
        <w:t>"</w:t>
      </w:r>
      <w:r w:rsidRPr="00124C52">
        <w:rPr>
          <w:rFonts w:ascii="Times New Roman" w:hAnsi="Times New Roman"/>
          <w:sz w:val="24"/>
          <w:szCs w:val="24"/>
          <w:lang w:val="lv-LV"/>
        </w:rPr>
        <w:t>Automašīnu operatīvais līzings</w:t>
      </w:r>
      <w:r w:rsidRPr="00124C52">
        <w:rPr>
          <w:rFonts w:ascii="Times New Roman" w:hAnsi="Times New Roman"/>
          <w:sz w:val="24"/>
          <w:szCs w:val="24"/>
          <w:lang w:val="lv-LV" w:eastAsia="lv-LV"/>
        </w:rPr>
        <w:t>"</w:t>
      </w:r>
    </w:p>
    <w:p w:rsidR="004C0F85" w:rsidRPr="00124C52" w:rsidRDefault="004C0F85" w:rsidP="004C0F85">
      <w:pPr>
        <w:shd w:val="clear" w:color="auto" w:fill="FFFFFF"/>
        <w:spacing w:after="0" w:line="240" w:lineRule="auto"/>
        <w:ind w:left="2835"/>
        <w:jc w:val="right"/>
        <w:rPr>
          <w:rFonts w:ascii="Times New Roman" w:hAnsi="Times New Roman"/>
          <w:spacing w:val="-3"/>
          <w:sz w:val="24"/>
          <w:szCs w:val="24"/>
          <w:lang w:val="lv-LV" w:eastAsia="lv-LV"/>
        </w:rPr>
      </w:pPr>
      <w:r w:rsidRPr="00124C52">
        <w:rPr>
          <w:rFonts w:ascii="Times New Roman" w:hAnsi="Times New Roman"/>
          <w:spacing w:val="-3"/>
          <w:sz w:val="24"/>
          <w:szCs w:val="24"/>
          <w:lang w:val="lv-LV" w:eastAsia="lv-LV"/>
        </w:rPr>
        <w:t xml:space="preserve">ar identifikācijas Nr. </w:t>
      </w:r>
      <w:r w:rsidRPr="00124C52">
        <w:rPr>
          <w:rFonts w:ascii="Times New Roman" w:hAnsi="Times New Roman"/>
          <w:sz w:val="24"/>
          <w:szCs w:val="24"/>
          <w:lang w:val="lv-LV"/>
        </w:rPr>
        <w:t>NRC "Vaivari"</w:t>
      </w:r>
      <w:r w:rsidR="007B248E">
        <w:rPr>
          <w:rFonts w:ascii="Times New Roman" w:hAnsi="Times New Roman"/>
          <w:sz w:val="24"/>
          <w:szCs w:val="24"/>
          <w:lang w:val="lv-LV" w:eastAsia="lv-LV"/>
        </w:rPr>
        <w:t xml:space="preserve"> 2018/37</w:t>
      </w:r>
      <w:bookmarkStart w:id="0" w:name="_GoBack"/>
      <w:bookmarkEnd w:id="0"/>
    </w:p>
    <w:p w:rsidR="004C0F85" w:rsidRPr="00124C52" w:rsidRDefault="004C0F85" w:rsidP="004C0F85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  <w:lang w:val="lv-LV" w:eastAsia="lv-LV"/>
        </w:rPr>
      </w:pPr>
      <w:r w:rsidRPr="00124C52">
        <w:rPr>
          <w:rFonts w:ascii="Times New Roman" w:hAnsi="Times New Roman"/>
          <w:b/>
          <w:spacing w:val="-3"/>
          <w:sz w:val="24"/>
          <w:szCs w:val="24"/>
        </w:rPr>
        <w:t>NOLIKUMAM</w:t>
      </w:r>
    </w:p>
    <w:p w:rsidR="004C0F85" w:rsidRPr="00124C52" w:rsidRDefault="004C0F85" w:rsidP="004C0F85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124C52">
        <w:rPr>
          <w:rFonts w:ascii="Times New Roman" w:hAnsi="Times New Roman"/>
          <w:b/>
          <w:sz w:val="24"/>
          <w:szCs w:val="24"/>
          <w:lang w:val="lv-LV"/>
        </w:rPr>
        <w:t>Tehniskās specifikācija/Tehniskais piedāvājums</w:t>
      </w:r>
    </w:p>
    <w:p w:rsidR="004C0F85" w:rsidRPr="00124C52" w:rsidRDefault="004C0F85" w:rsidP="004C0F85">
      <w:pPr>
        <w:spacing w:before="120" w:after="12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124C52">
        <w:rPr>
          <w:rFonts w:ascii="Times New Roman" w:hAnsi="Times New Roman"/>
          <w:b/>
          <w:sz w:val="24"/>
          <w:szCs w:val="24"/>
          <w:lang w:val="lv-LV"/>
        </w:rPr>
        <w:t xml:space="preserve"> iepirkuma priekšmetam</w:t>
      </w:r>
    </w:p>
    <w:p w:rsidR="004C0F85" w:rsidRPr="00124C52" w:rsidRDefault="004C0F85" w:rsidP="004C0F85">
      <w:pPr>
        <w:numPr>
          <w:ilvl w:val="0"/>
          <w:numId w:val="1"/>
        </w:numPr>
        <w:spacing w:after="40" w:line="240" w:lineRule="auto"/>
        <w:rPr>
          <w:rFonts w:ascii="Times New Roman" w:hAnsi="Times New Roman"/>
          <w:sz w:val="24"/>
          <w:szCs w:val="24"/>
          <w:lang w:val="lv-LV"/>
        </w:rPr>
      </w:pPr>
      <w:r w:rsidRPr="00124C52">
        <w:rPr>
          <w:rFonts w:ascii="Times New Roman" w:hAnsi="Times New Roman"/>
          <w:sz w:val="24"/>
          <w:szCs w:val="24"/>
          <w:lang w:val="lv-LV"/>
        </w:rPr>
        <w:t>Piegādātājam jānodrošina:</w:t>
      </w:r>
    </w:p>
    <w:p w:rsidR="004C0F85" w:rsidRPr="00124C52" w:rsidRDefault="004C0F85" w:rsidP="004C0F85">
      <w:pPr>
        <w:numPr>
          <w:ilvl w:val="1"/>
          <w:numId w:val="1"/>
        </w:numPr>
        <w:spacing w:after="40" w:line="240" w:lineRule="auto"/>
        <w:rPr>
          <w:rFonts w:ascii="Times New Roman" w:hAnsi="Times New Roman"/>
          <w:sz w:val="24"/>
          <w:szCs w:val="24"/>
          <w:lang w:val="lv-LV"/>
        </w:rPr>
      </w:pPr>
      <w:r w:rsidRPr="00124C52">
        <w:rPr>
          <w:rFonts w:ascii="Times New Roman" w:hAnsi="Times New Roman"/>
          <w:sz w:val="24"/>
          <w:szCs w:val="24"/>
          <w:lang w:val="lv-LV"/>
        </w:rPr>
        <w:t>Automašīnas piegādi, sagatavošanu un nodošanu pasūtītājam;</w:t>
      </w:r>
    </w:p>
    <w:p w:rsidR="004C0F85" w:rsidRPr="00124C52" w:rsidRDefault="004C0F85" w:rsidP="004C0F85">
      <w:pPr>
        <w:numPr>
          <w:ilvl w:val="1"/>
          <w:numId w:val="1"/>
        </w:numPr>
        <w:spacing w:after="40" w:line="240" w:lineRule="auto"/>
        <w:rPr>
          <w:rFonts w:ascii="Times New Roman" w:hAnsi="Times New Roman"/>
          <w:sz w:val="24"/>
          <w:szCs w:val="24"/>
          <w:lang w:val="lv-LV"/>
        </w:rPr>
      </w:pPr>
      <w:r w:rsidRPr="00124C52">
        <w:rPr>
          <w:rFonts w:ascii="Times New Roman" w:hAnsi="Times New Roman"/>
          <w:sz w:val="24"/>
          <w:szCs w:val="24"/>
          <w:lang w:val="lv-LV"/>
        </w:rPr>
        <w:t>Automašīnas reģistrāciju LR CSDD uz pasūtītāja vārda ar LR numurzīmēm;</w:t>
      </w:r>
    </w:p>
    <w:p w:rsidR="004C0F85" w:rsidRPr="00124C52" w:rsidRDefault="004C0F85" w:rsidP="004C0F85">
      <w:pPr>
        <w:numPr>
          <w:ilvl w:val="1"/>
          <w:numId w:val="1"/>
        </w:numPr>
        <w:spacing w:after="40" w:line="240" w:lineRule="auto"/>
        <w:rPr>
          <w:rFonts w:ascii="Times New Roman" w:hAnsi="Times New Roman"/>
          <w:sz w:val="24"/>
          <w:szCs w:val="24"/>
          <w:lang w:val="lv-LV"/>
        </w:rPr>
      </w:pPr>
      <w:r w:rsidRPr="00124C52">
        <w:rPr>
          <w:rFonts w:ascii="Times New Roman" w:hAnsi="Times New Roman"/>
          <w:sz w:val="24"/>
          <w:szCs w:val="24"/>
          <w:lang w:val="lv-LV"/>
        </w:rPr>
        <w:t>Automašīnas obligātās civiltiesiskās atbildības apdrošināšanu (OCTA) operatīvā līzinga pirmajiem 12 mēnešiem;</w:t>
      </w:r>
    </w:p>
    <w:p w:rsidR="004C0F85" w:rsidRPr="00124C52" w:rsidRDefault="004C0F85" w:rsidP="004C0F85">
      <w:pPr>
        <w:numPr>
          <w:ilvl w:val="1"/>
          <w:numId w:val="1"/>
        </w:numPr>
        <w:spacing w:after="40" w:line="240" w:lineRule="auto"/>
        <w:rPr>
          <w:rFonts w:ascii="Times New Roman" w:hAnsi="Times New Roman"/>
          <w:sz w:val="24"/>
          <w:szCs w:val="24"/>
          <w:lang w:val="lv-LV"/>
        </w:rPr>
      </w:pPr>
      <w:r w:rsidRPr="00124C52">
        <w:rPr>
          <w:rFonts w:ascii="Times New Roman" w:hAnsi="Times New Roman"/>
          <w:sz w:val="24"/>
          <w:szCs w:val="24"/>
          <w:lang w:val="lv-LV"/>
        </w:rPr>
        <w:t>Automašīnas KASKO apdrošināšana operatīvā līzinga pirmajiem 12 mēnešiem. KASKO apdrošināšanas nosacījumi: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0"/>
        <w:gridCol w:w="5095"/>
      </w:tblGrid>
      <w:tr w:rsidR="004C0F85" w:rsidRPr="00124C52" w:rsidTr="002F656A">
        <w:tc>
          <w:tcPr>
            <w:tcW w:w="3828" w:type="dxa"/>
          </w:tcPr>
          <w:p w:rsidR="004C0F85" w:rsidRPr="00124C52" w:rsidRDefault="004C0F85" w:rsidP="002F656A">
            <w:pPr>
              <w:spacing w:before="40" w:after="6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24C52">
              <w:rPr>
                <w:rFonts w:ascii="Times New Roman" w:hAnsi="Times New Roman"/>
                <w:sz w:val="24"/>
                <w:szCs w:val="24"/>
                <w:lang w:val="lv-LV"/>
              </w:rPr>
              <w:t>KASKO apdrošināšana</w:t>
            </w:r>
          </w:p>
        </w:tc>
        <w:tc>
          <w:tcPr>
            <w:tcW w:w="5521" w:type="dxa"/>
          </w:tcPr>
          <w:p w:rsidR="004C0F85" w:rsidRPr="00124C52" w:rsidRDefault="004C0F85" w:rsidP="002F656A">
            <w:pPr>
              <w:spacing w:before="40" w:after="60"/>
              <w:rPr>
                <w:rFonts w:ascii="Times New Roman" w:hAnsi="Times New Roman"/>
                <w:sz w:val="24"/>
                <w:szCs w:val="24"/>
                <w:u w:val="single"/>
                <w:lang w:val="lv-LV"/>
              </w:rPr>
            </w:pPr>
            <w:r w:rsidRPr="00124C52">
              <w:rPr>
                <w:rFonts w:ascii="Times New Roman" w:hAnsi="Times New Roman"/>
                <w:sz w:val="24"/>
                <w:szCs w:val="24"/>
                <w:u w:val="single"/>
                <w:lang w:val="lv-LV"/>
              </w:rPr>
              <w:t>KASKO – Nomnieka pašriski:</w:t>
            </w:r>
          </w:p>
          <w:p w:rsidR="004C0F85" w:rsidRPr="00124C52" w:rsidRDefault="004C0F85" w:rsidP="004C0F85">
            <w:pPr>
              <w:numPr>
                <w:ilvl w:val="0"/>
                <w:numId w:val="2"/>
              </w:numPr>
              <w:spacing w:before="40" w:after="6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24C52">
              <w:rPr>
                <w:rFonts w:ascii="Times New Roman" w:hAnsi="Times New Roman"/>
                <w:sz w:val="24"/>
                <w:szCs w:val="24"/>
                <w:lang w:val="lv-LV"/>
              </w:rPr>
              <w:t>Automašīnas bojājuma gadījumā - 0% EUR;</w:t>
            </w:r>
          </w:p>
          <w:p w:rsidR="004C0F85" w:rsidRPr="00124C52" w:rsidRDefault="004C0F85" w:rsidP="004C0F85">
            <w:pPr>
              <w:numPr>
                <w:ilvl w:val="0"/>
                <w:numId w:val="2"/>
              </w:numPr>
              <w:spacing w:before="40" w:after="6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24C52">
              <w:rPr>
                <w:rFonts w:ascii="Times New Roman" w:hAnsi="Times New Roman"/>
                <w:sz w:val="24"/>
                <w:szCs w:val="24"/>
                <w:lang w:val="lv-LV"/>
              </w:rPr>
              <w:t>Automašīnas bojāejas gadījumā - 5% EUR;</w:t>
            </w:r>
          </w:p>
          <w:p w:rsidR="004C0F85" w:rsidRPr="00124C52" w:rsidRDefault="004C0F85" w:rsidP="004C0F85">
            <w:pPr>
              <w:numPr>
                <w:ilvl w:val="0"/>
                <w:numId w:val="2"/>
              </w:numPr>
              <w:spacing w:before="40" w:after="6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24C52">
              <w:rPr>
                <w:rFonts w:ascii="Times New Roman" w:hAnsi="Times New Roman"/>
                <w:sz w:val="24"/>
                <w:szCs w:val="24"/>
                <w:lang w:val="lv-LV"/>
              </w:rPr>
              <w:t>Automašīnas zādzības gadījumā - 5% EUR</w:t>
            </w:r>
          </w:p>
        </w:tc>
      </w:tr>
    </w:tbl>
    <w:p w:rsidR="004C0F85" w:rsidRPr="00124C52" w:rsidRDefault="004C0F85" w:rsidP="004C0F85">
      <w:pPr>
        <w:numPr>
          <w:ilvl w:val="0"/>
          <w:numId w:val="1"/>
        </w:numPr>
        <w:spacing w:after="40" w:line="240" w:lineRule="auto"/>
        <w:rPr>
          <w:rFonts w:ascii="Times New Roman" w:hAnsi="Times New Roman"/>
          <w:sz w:val="24"/>
          <w:szCs w:val="24"/>
          <w:lang w:val="lv-LV"/>
        </w:rPr>
      </w:pPr>
      <w:r w:rsidRPr="00124C52">
        <w:rPr>
          <w:rFonts w:ascii="Times New Roman" w:hAnsi="Times New Roman"/>
          <w:sz w:val="24"/>
          <w:szCs w:val="24"/>
          <w:lang w:val="lv-LV"/>
        </w:rPr>
        <w:t>Piegādātājam, piegādājot automašīnu pasūtītājam, jānodod pasūtītāja pilnvarotai personai:</w:t>
      </w:r>
    </w:p>
    <w:p w:rsidR="004C0F85" w:rsidRPr="00124C52" w:rsidRDefault="004C0F85" w:rsidP="004C0F85">
      <w:pPr>
        <w:numPr>
          <w:ilvl w:val="1"/>
          <w:numId w:val="1"/>
        </w:numPr>
        <w:spacing w:after="40" w:line="240" w:lineRule="auto"/>
        <w:rPr>
          <w:rFonts w:ascii="Times New Roman" w:hAnsi="Times New Roman"/>
          <w:sz w:val="24"/>
          <w:szCs w:val="24"/>
          <w:lang w:val="lv-LV"/>
        </w:rPr>
      </w:pPr>
      <w:r w:rsidRPr="00124C52">
        <w:rPr>
          <w:rFonts w:ascii="Times New Roman" w:hAnsi="Times New Roman"/>
          <w:sz w:val="24"/>
          <w:szCs w:val="24"/>
          <w:lang w:val="lv-LV"/>
        </w:rPr>
        <w:t>divu atslēgu komplektus kopā ar divām signalizācijas pultīm;</w:t>
      </w:r>
    </w:p>
    <w:p w:rsidR="004C0F85" w:rsidRPr="00124C52" w:rsidRDefault="004C0F85" w:rsidP="004C0F85">
      <w:pPr>
        <w:numPr>
          <w:ilvl w:val="1"/>
          <w:numId w:val="1"/>
        </w:numPr>
        <w:spacing w:after="40" w:line="240" w:lineRule="auto"/>
        <w:rPr>
          <w:rFonts w:ascii="Times New Roman" w:hAnsi="Times New Roman"/>
          <w:sz w:val="24"/>
          <w:szCs w:val="24"/>
          <w:lang w:val="lv-LV"/>
        </w:rPr>
      </w:pPr>
      <w:r w:rsidRPr="00124C52">
        <w:rPr>
          <w:rFonts w:ascii="Times New Roman" w:hAnsi="Times New Roman"/>
          <w:sz w:val="24"/>
          <w:szCs w:val="24"/>
          <w:lang w:val="lv-LV"/>
        </w:rPr>
        <w:t>automašīnas tehnisko pasi, tehnisko parametru un lietošanas instrukcijas dokumentāciju latviešu valodā, automašīnas servisa grāmatiņu u.c. tehnisko dokumentāciju;</w:t>
      </w:r>
    </w:p>
    <w:p w:rsidR="004C0F85" w:rsidRPr="00124C52" w:rsidRDefault="004C0F85" w:rsidP="004C0F85">
      <w:pPr>
        <w:numPr>
          <w:ilvl w:val="1"/>
          <w:numId w:val="1"/>
        </w:numPr>
        <w:spacing w:after="40" w:line="240" w:lineRule="auto"/>
        <w:rPr>
          <w:rFonts w:ascii="Times New Roman" w:hAnsi="Times New Roman"/>
          <w:sz w:val="24"/>
          <w:szCs w:val="24"/>
          <w:lang w:val="lv-LV"/>
        </w:rPr>
      </w:pPr>
      <w:r w:rsidRPr="00124C52">
        <w:rPr>
          <w:rFonts w:ascii="Times New Roman" w:hAnsi="Times New Roman"/>
          <w:sz w:val="24"/>
          <w:szCs w:val="24"/>
          <w:lang w:val="lv-LV"/>
        </w:rPr>
        <w:t>OCTA un KASKO polises 12 mēnešiem.</w:t>
      </w:r>
    </w:p>
    <w:p w:rsidR="004C0F85" w:rsidRPr="00124C52" w:rsidRDefault="004C0F85" w:rsidP="004C0F85">
      <w:pPr>
        <w:numPr>
          <w:ilvl w:val="0"/>
          <w:numId w:val="1"/>
        </w:numPr>
        <w:spacing w:after="40" w:line="240" w:lineRule="auto"/>
        <w:rPr>
          <w:rFonts w:ascii="Times New Roman" w:hAnsi="Times New Roman"/>
          <w:sz w:val="24"/>
          <w:szCs w:val="24"/>
          <w:lang w:val="lv-LV"/>
        </w:rPr>
      </w:pPr>
      <w:r w:rsidRPr="00124C52">
        <w:rPr>
          <w:rFonts w:ascii="Times New Roman" w:hAnsi="Times New Roman"/>
          <w:sz w:val="24"/>
          <w:szCs w:val="24"/>
          <w:lang w:val="lv-LV"/>
        </w:rPr>
        <w:t>Automašīnas raksturojums:</w:t>
      </w:r>
    </w:p>
    <w:tbl>
      <w:tblPr>
        <w:tblW w:w="9924" w:type="dxa"/>
        <w:tblInd w:w="-572" w:type="dxa"/>
        <w:tblLayout w:type="fixed"/>
        <w:tblLook w:val="00A0" w:firstRow="1" w:lastRow="0" w:firstColumn="1" w:lastColumn="0" w:noHBand="0" w:noVBand="0"/>
      </w:tblPr>
      <w:tblGrid>
        <w:gridCol w:w="2546"/>
        <w:gridCol w:w="3264"/>
        <w:gridCol w:w="4114"/>
      </w:tblGrid>
      <w:tr w:rsidR="004C0F85" w:rsidRPr="00124C52" w:rsidTr="002F656A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Nosacījumi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Prasības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124C52" w:rsidRDefault="004C0F85" w:rsidP="002F656A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124C5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Piedāvājums</w:t>
            </w:r>
          </w:p>
        </w:tc>
      </w:tr>
      <w:tr w:rsidR="004C0F85" w:rsidRPr="00124C52" w:rsidTr="002F656A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Automašīnu skaits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24C52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. gab.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124C52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C0F85" w:rsidRPr="00124C52" w:rsidTr="002F656A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Automašīnas izlaiduma gads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Ne vecāka par 2017. gadu, jauna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124C52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C0F85" w:rsidRPr="00124C52" w:rsidTr="002F656A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Automašīnas marka, modelis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Pretendents iesniedz savu p</w:t>
            </w:r>
            <w:r w:rsidRPr="00124C52">
              <w:rPr>
                <w:rFonts w:ascii="Times New Roman" w:hAnsi="Times New Roman"/>
                <w:sz w:val="24"/>
                <w:szCs w:val="24"/>
                <w:lang w:val="lv-LV"/>
              </w:rPr>
              <w:t>i</w:t>
            </w: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edāvājumu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124C52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C0F85" w:rsidRPr="00124C52" w:rsidTr="002F656A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Virsbūves tips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Pasažieru mikroautobuss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124C52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C0F85" w:rsidRPr="00124C52" w:rsidTr="002F656A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Piedziņa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Priekšēja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124C52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C0F85" w:rsidRPr="00124C52" w:rsidTr="002F656A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Durvju skaits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Ne mazāk kā 4, ieskaitot bagāžas nodalījuma durvis</w:t>
            </w:r>
            <w:r w:rsidRPr="00124C5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2C1167">
              <w:rPr>
                <w:rFonts w:ascii="Times New Roman" w:hAnsi="Times New Roman"/>
                <w:sz w:val="24"/>
                <w:szCs w:val="24"/>
                <w:lang w:val="lv-LV"/>
              </w:rPr>
              <w:t>atveramas 180</w:t>
            </w:r>
            <w:r w:rsidRPr="002C1167">
              <w:rPr>
                <w:rFonts w:ascii="Times New Roman" w:hAnsi="Times New Roman"/>
                <w:sz w:val="24"/>
                <w:szCs w:val="24"/>
                <w:vertAlign w:val="superscript"/>
                <w:lang w:val="lv-LV"/>
              </w:rPr>
              <w:t xml:space="preserve">o </w:t>
            </w:r>
            <w:r w:rsidRPr="002C1167">
              <w:rPr>
                <w:rFonts w:ascii="Times New Roman" w:hAnsi="Times New Roman"/>
                <w:sz w:val="24"/>
                <w:szCs w:val="24"/>
                <w:lang w:val="lv-LV"/>
              </w:rPr>
              <w:t>leņķī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124C52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C0F85" w:rsidRPr="00124C52" w:rsidTr="002F656A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Sēdvietu skaits (neskaitot vadītāja vietu)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Vismaz 7 </w:t>
            </w: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sēdvietas, ar iespēju viegli izņemt 2. un 3. rindas sēdekļus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124C52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C0F85" w:rsidRPr="00124C52" w:rsidTr="002F656A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Degvielas veids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Dīzeļdegviela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124C52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C0F85" w:rsidRPr="00124C52" w:rsidTr="002F656A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Izmešu daudzums izplūdes gāzēs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Atbilstošs EURO 6 prasībām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124C52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C0F85" w:rsidRPr="00124C52" w:rsidTr="002F656A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Pilna masa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Līdz 3500 kg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124C52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C0F85" w:rsidRPr="00124C52" w:rsidTr="002F656A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Dzinēja jauda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Ne mazāka par 105 </w:t>
            </w:r>
            <w:proofErr w:type="spellStart"/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kW</w:t>
            </w:r>
            <w:proofErr w:type="spellEnd"/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124C52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C0F85" w:rsidRPr="00124C52" w:rsidTr="002F656A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Transmisijas tips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Manuālā 6-pakāpju (vai vairāk) braukšanai uz priekšu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124C52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C0F85" w:rsidRPr="00124C52" w:rsidTr="002F656A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Gabarīti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Garums – ne vairāk par 5500 mm</w:t>
            </w:r>
          </w:p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Platums – ne vairāk par 2200 mm</w:t>
            </w:r>
          </w:p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Augstums – ne vairāk par 2000 mm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124C52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C0F85" w:rsidRPr="00124C52" w:rsidTr="002F656A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Vidējais degvielas patēriņš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2C1167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C1167">
              <w:rPr>
                <w:rFonts w:ascii="Times New Roman" w:hAnsi="Times New Roman"/>
                <w:sz w:val="24"/>
                <w:szCs w:val="24"/>
                <w:lang w:val="lv-LV"/>
              </w:rPr>
              <w:t>Ne vairāk kā 6l/100km kombinētajā režīmā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124C52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C0F85" w:rsidRPr="00124C52" w:rsidTr="002F656A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Garantija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Ne mazāk kā 60 mēneši ar nobraukumu līdz 200000 km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124C52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C0F85" w:rsidRPr="00124C52" w:rsidTr="002F656A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Degvielas bākas tilpums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Ne mazāks par 60l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124C52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C0F85" w:rsidRPr="00124C52" w:rsidTr="002F656A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Bagāžas nodalījuma tilpums ar pilnu sēdvietu skaitu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Ne mazāks par 90</w:t>
            </w: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0l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124C52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C0F85" w:rsidRPr="00124C52" w:rsidTr="002F656A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Obligātās aprīkojuma prasības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Aizmugurējā loga tīrītājs</w:t>
            </w:r>
          </w:p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Elektriski regulējami un apsildāmi sānu </w:t>
            </w:r>
            <w:proofErr w:type="spellStart"/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atpakaļskata</w:t>
            </w:r>
            <w:proofErr w:type="spellEnd"/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spoguļi</w:t>
            </w:r>
          </w:p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Aizmugurējā loga atkausētājs</w:t>
            </w:r>
          </w:p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Elektriski darbināmi priekšējie logi</w:t>
            </w:r>
          </w:p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12 V kontaktligzda salona priekšā</w:t>
            </w:r>
          </w:p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Salona apgaismojums priekšā</w:t>
            </w:r>
          </w:p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Vadītāja un priekšējā pasažiera personīgais apgaismojums</w:t>
            </w:r>
          </w:p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Gaisa ventilācija aizmugurē sēdošajiem</w:t>
            </w:r>
          </w:p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Gaisa kondicionēšana aizmugurē sēdošajiem</w:t>
            </w:r>
          </w:p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Gaisa kondicionētājs</w:t>
            </w:r>
          </w:p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Regulējams augstums vadītāja sēdeklim</w:t>
            </w:r>
          </w:p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Regulējams jostas vietas atbalsts vadītāja sēdeklim</w:t>
            </w:r>
          </w:p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1/3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sadalāmi un nolokami 2. rindas sēdekļi</w:t>
            </w:r>
          </w:p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Bīdāmi un izņemami 2. rindas sēdekļi uz sliedēm</w:t>
            </w:r>
          </w:p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Bīdāmi un izņemami 3. rindas sēdekļi uz sliedēm</w:t>
            </w:r>
          </w:p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Bremžu </w:t>
            </w:r>
            <w:proofErr w:type="spellStart"/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prebloķēšanas</w:t>
            </w:r>
            <w:proofErr w:type="spellEnd"/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sistēma (ABS)</w:t>
            </w:r>
          </w:p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Elektroniskā stabilitātes kontrole (ESP)</w:t>
            </w:r>
          </w:p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Durvju aizslēgšana un atslēgšana ar tālvadības pulti</w:t>
            </w:r>
          </w:p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KASKO prasībām atbilstoši </w:t>
            </w:r>
            <w:proofErr w:type="spellStart"/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imobilaizers</w:t>
            </w:r>
            <w:proofErr w:type="spellEnd"/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un signalizācija ar tālvadības pulti</w:t>
            </w:r>
          </w:p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Priekšējie miglas lukturi</w:t>
            </w:r>
          </w:p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Aizmugurējie </w:t>
            </w:r>
            <w:proofErr w:type="spellStart"/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parkošanās</w:t>
            </w:r>
            <w:proofErr w:type="spellEnd"/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sensori</w:t>
            </w:r>
          </w:p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Tonēti stikli aizmugurējam un sānu logiem</w:t>
            </w:r>
          </w:p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Pilna izmēra rezerves ritenis</w:t>
            </w:r>
          </w:p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124C52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C0F85" w:rsidRPr="00124C52" w:rsidTr="002F656A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Autoservisi, kuri nodrošina ražotāja noteiktās tehniskās apkopes un garantijas remontus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Vismaz viens Rīgā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124C52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C0F85" w:rsidRPr="00124C52" w:rsidTr="002F656A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Piegādes termiņš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85" w:rsidRPr="001003F4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>Ne vairāk kā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3</w:t>
            </w:r>
            <w:r w:rsidRPr="001003F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mēneši no līguma noslēgšanas dienas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85" w:rsidRPr="00124C52" w:rsidRDefault="004C0F85" w:rsidP="002F656A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C0F85" w:rsidRPr="002C1167" w:rsidTr="002F6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2546" w:type="dxa"/>
            <w:vAlign w:val="center"/>
          </w:tcPr>
          <w:p w:rsidR="004C0F85" w:rsidRPr="002C1167" w:rsidRDefault="004C0F85" w:rsidP="002F656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2C1167">
              <w:rPr>
                <w:rFonts w:ascii="Times New Roman" w:hAnsi="Times New Roman"/>
                <w:sz w:val="24"/>
                <w:szCs w:val="24"/>
                <w:lang w:val="lv-LV"/>
              </w:rPr>
              <w:t>Klīrenss</w:t>
            </w:r>
            <w:proofErr w:type="spellEnd"/>
            <w:r w:rsidRPr="002C116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264" w:type="dxa"/>
            <w:vAlign w:val="center"/>
          </w:tcPr>
          <w:p w:rsidR="004C0F85" w:rsidRPr="002C1167" w:rsidRDefault="004C0F85" w:rsidP="002F656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C1167">
              <w:rPr>
                <w:rFonts w:ascii="Times New Roman" w:hAnsi="Times New Roman"/>
                <w:sz w:val="24"/>
                <w:szCs w:val="24"/>
                <w:lang w:val="lv-LV"/>
              </w:rPr>
              <w:t>ne mazāk par 160 mm</w:t>
            </w:r>
          </w:p>
        </w:tc>
        <w:tc>
          <w:tcPr>
            <w:tcW w:w="4113" w:type="dxa"/>
          </w:tcPr>
          <w:p w:rsidR="004C0F85" w:rsidRPr="002C1167" w:rsidRDefault="004C0F85" w:rsidP="002F656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C0F85" w:rsidRPr="002C1167" w:rsidTr="002F6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2546" w:type="dxa"/>
            <w:vAlign w:val="center"/>
          </w:tcPr>
          <w:p w:rsidR="004C0F85" w:rsidRPr="002C1167" w:rsidRDefault="004C0F85" w:rsidP="002F656A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C1167">
              <w:rPr>
                <w:rFonts w:ascii="Times New Roman" w:hAnsi="Times New Roman"/>
                <w:sz w:val="24"/>
                <w:szCs w:val="24"/>
                <w:lang w:val="lv-LV"/>
              </w:rPr>
              <w:t>Garantija transportlīdzeklim</w:t>
            </w:r>
          </w:p>
        </w:tc>
        <w:tc>
          <w:tcPr>
            <w:tcW w:w="3264" w:type="dxa"/>
            <w:vAlign w:val="center"/>
          </w:tcPr>
          <w:p w:rsidR="004C0F85" w:rsidRPr="002C1167" w:rsidRDefault="004C0F85" w:rsidP="002F656A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C1167">
              <w:rPr>
                <w:rFonts w:ascii="Times New Roman" w:hAnsi="Times New Roman"/>
                <w:sz w:val="24"/>
                <w:szCs w:val="24"/>
                <w:lang w:val="lv-LV"/>
              </w:rPr>
              <w:t>ne mazāk kā 24 mēneši no automašīnas piegādes brīža bez nobraukuma ierobežojuma</w:t>
            </w:r>
          </w:p>
        </w:tc>
        <w:tc>
          <w:tcPr>
            <w:tcW w:w="4113" w:type="dxa"/>
          </w:tcPr>
          <w:p w:rsidR="004C0F85" w:rsidRPr="002C1167" w:rsidRDefault="004C0F85" w:rsidP="002F656A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C0F85" w:rsidRPr="002C1167" w:rsidTr="002F6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2546" w:type="dxa"/>
            <w:vAlign w:val="center"/>
          </w:tcPr>
          <w:p w:rsidR="004C0F85" w:rsidRPr="002C1167" w:rsidRDefault="004C0F85" w:rsidP="002F656A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C1167">
              <w:rPr>
                <w:rFonts w:ascii="Times New Roman" w:hAnsi="Times New Roman"/>
                <w:sz w:val="24"/>
                <w:szCs w:val="24"/>
                <w:lang w:val="lv-LV"/>
              </w:rPr>
              <w:t>Pretendents piedāvājumā iekļauj dokumentus ar informāciju par automašīnas oglekļa dioksīda emisijas daudzumu un piesārņotāju - slāpekļa oksīdu, metānu nesaturošo ogļūdeņražu un cieto daļiņu emisijas apjomu</w:t>
            </w:r>
          </w:p>
        </w:tc>
        <w:tc>
          <w:tcPr>
            <w:tcW w:w="3264" w:type="dxa"/>
            <w:vAlign w:val="center"/>
          </w:tcPr>
          <w:p w:rsidR="004C0F85" w:rsidRPr="002C1167" w:rsidRDefault="004C0F85" w:rsidP="002F656A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C1167">
              <w:rPr>
                <w:rFonts w:ascii="Times New Roman" w:hAnsi="Times New Roman"/>
                <w:sz w:val="24"/>
                <w:szCs w:val="24"/>
                <w:lang w:val="lv-LV"/>
              </w:rPr>
              <w:t>CO</w:t>
            </w:r>
            <w:r w:rsidRPr="002C1167">
              <w:rPr>
                <w:rFonts w:ascii="Times New Roman" w:hAnsi="Times New Roman"/>
                <w:sz w:val="24"/>
                <w:szCs w:val="24"/>
                <w:vertAlign w:val="subscript"/>
                <w:lang w:val="lv-LV"/>
              </w:rPr>
              <w:t>2</w:t>
            </w:r>
            <w:r w:rsidRPr="002C116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ne vairāk kā 155 g/km</w:t>
            </w:r>
          </w:p>
          <w:p w:rsidR="004C0F85" w:rsidRPr="002C1167" w:rsidRDefault="004C0F85" w:rsidP="002F656A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2C1167">
              <w:rPr>
                <w:rFonts w:ascii="Times New Roman" w:hAnsi="Times New Roman"/>
                <w:sz w:val="24"/>
                <w:szCs w:val="24"/>
                <w:lang w:val="lv-LV"/>
              </w:rPr>
              <w:t>NO</w:t>
            </w:r>
            <w:r w:rsidRPr="002C1167">
              <w:rPr>
                <w:rFonts w:ascii="Times New Roman" w:hAnsi="Times New Roman"/>
                <w:sz w:val="24"/>
                <w:szCs w:val="24"/>
                <w:vertAlign w:val="subscript"/>
                <w:lang w:val="lv-LV"/>
              </w:rPr>
              <w:t>x</w:t>
            </w:r>
            <w:proofErr w:type="spellEnd"/>
            <w:r w:rsidRPr="002C116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– 0,0716 g/km</w:t>
            </w:r>
          </w:p>
          <w:p w:rsidR="004C0F85" w:rsidRPr="002C1167" w:rsidRDefault="004C0F85" w:rsidP="002F656A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C1167">
              <w:rPr>
                <w:rFonts w:ascii="Times New Roman" w:hAnsi="Times New Roman"/>
                <w:sz w:val="24"/>
                <w:szCs w:val="24"/>
                <w:lang w:val="lv-LV"/>
              </w:rPr>
              <w:t>Cietās daļiņas – 0.00061 g/km</w:t>
            </w:r>
          </w:p>
        </w:tc>
        <w:tc>
          <w:tcPr>
            <w:tcW w:w="4113" w:type="dxa"/>
          </w:tcPr>
          <w:p w:rsidR="004C0F85" w:rsidRPr="002C1167" w:rsidRDefault="004C0F85" w:rsidP="002F656A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C0F85" w:rsidRPr="00124C52" w:rsidTr="002F65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2546" w:type="dxa"/>
            <w:vAlign w:val="center"/>
          </w:tcPr>
          <w:p w:rsidR="004C0F85" w:rsidRPr="002C1167" w:rsidRDefault="004C0F85" w:rsidP="002F656A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C1167">
              <w:rPr>
                <w:rFonts w:ascii="Times New Roman" w:hAnsi="Times New Roman"/>
                <w:sz w:val="24"/>
                <w:szCs w:val="24"/>
                <w:lang w:val="lv-LV"/>
              </w:rPr>
              <w:t>Paredzamais nobraukums 60 mēnešiem vienai automašīnai</w:t>
            </w:r>
          </w:p>
        </w:tc>
        <w:tc>
          <w:tcPr>
            <w:tcW w:w="3264" w:type="dxa"/>
            <w:vAlign w:val="center"/>
          </w:tcPr>
          <w:p w:rsidR="004C0F85" w:rsidRPr="002C1167" w:rsidRDefault="004C0F85" w:rsidP="002F656A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Pr="002C1167">
              <w:rPr>
                <w:rFonts w:ascii="Times New Roman" w:hAnsi="Times New Roman"/>
                <w:sz w:val="24"/>
                <w:szCs w:val="24"/>
                <w:lang w:val="lv-LV"/>
              </w:rPr>
              <w:t>50 000 km</w:t>
            </w:r>
          </w:p>
        </w:tc>
        <w:tc>
          <w:tcPr>
            <w:tcW w:w="4113" w:type="dxa"/>
          </w:tcPr>
          <w:p w:rsidR="004C0F85" w:rsidRPr="002C1167" w:rsidRDefault="004C0F85" w:rsidP="002F656A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4C0F85" w:rsidRPr="00124C52" w:rsidRDefault="004C0F85" w:rsidP="004C0F85">
      <w:pPr>
        <w:rPr>
          <w:rFonts w:ascii="Times New Roman" w:hAnsi="Times New Roman"/>
          <w:sz w:val="24"/>
          <w:szCs w:val="24"/>
          <w:lang w:val="lv-LV"/>
        </w:rPr>
      </w:pPr>
    </w:p>
    <w:p w:rsidR="006178E9" w:rsidRDefault="007B248E"/>
    <w:sectPr w:rsidR="006178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47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E76411B"/>
    <w:multiLevelType w:val="hybridMultilevel"/>
    <w:tmpl w:val="BDE0B65A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85"/>
    <w:rsid w:val="004C0F85"/>
    <w:rsid w:val="007B248E"/>
    <w:rsid w:val="00A06E84"/>
    <w:rsid w:val="00B7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61089"/>
  <w15:chartTrackingRefBased/>
  <w15:docId w15:val="{C56044E5-25DE-4FE1-AE07-C854E174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F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Kocane</dc:creator>
  <cp:keywords/>
  <dc:description/>
  <cp:lastModifiedBy>Aija Kocane</cp:lastModifiedBy>
  <cp:revision>2</cp:revision>
  <dcterms:created xsi:type="dcterms:W3CDTF">2018-09-18T09:35:00Z</dcterms:created>
  <dcterms:modified xsi:type="dcterms:W3CDTF">2018-09-19T08:57:00Z</dcterms:modified>
</cp:coreProperties>
</file>